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21" w:rsidRPr="006D6721" w:rsidRDefault="006D6721" w:rsidP="006D6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2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690360" cy="754380"/>
            <wp:effectExtent l="0" t="0" r="0" b="7620"/>
            <wp:wrapSquare wrapText="bothSides"/>
            <wp:docPr id="1" name="Picture 1" descr="\\172.17.25.170\Ministry\DataLex\Legi_Rom\DE\A16\gm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25.170\Ministry\DataLex\Legi_Rom\DE\A16\gme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6721" w:rsidRPr="006D6721" w:rsidRDefault="006D6721" w:rsidP="006D6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 R D I N</w:t>
      </w:r>
    </w:p>
    <w:p w:rsidR="006D6721" w:rsidRPr="006D6721" w:rsidRDefault="006D6721" w:rsidP="006D6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</w:t>
      </w:r>
      <w:proofErr w:type="gramEnd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privire</w:t>
      </w:r>
      <w:proofErr w:type="spellEnd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la </w:t>
      </w:r>
      <w:proofErr w:type="spellStart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modificarea</w:t>
      </w:r>
      <w:proofErr w:type="spellEnd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şi</w:t>
      </w:r>
      <w:proofErr w:type="spellEnd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completarea</w:t>
      </w:r>
      <w:proofErr w:type="spellEnd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Ordinului</w:t>
      </w:r>
      <w:proofErr w:type="spellEnd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nr.130 din 21.07.2014</w:t>
      </w:r>
    </w:p>
    <w:p w:rsidR="006D6721" w:rsidRPr="006D6721" w:rsidRDefault="006D6721" w:rsidP="006D6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6D6721" w:rsidRPr="006D6721" w:rsidRDefault="006D6721" w:rsidP="006D6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proofErr w:type="gramStart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nr</w:t>
      </w:r>
      <w:proofErr w:type="spellEnd"/>
      <w:proofErr w:type="gramEnd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proofErr w:type="gramStart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  din</w:t>
      </w:r>
      <w:proofErr w:type="gramEnd"/>
      <w:r w:rsidRPr="006D67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 01.02.2016</w:t>
      </w:r>
    </w:p>
    <w:p w:rsidR="006D6721" w:rsidRPr="006D6721" w:rsidRDefault="006D6721" w:rsidP="006D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2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D6721" w:rsidRPr="006D6721" w:rsidRDefault="006D6721" w:rsidP="006D67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</w:pPr>
      <w:proofErr w:type="spellStart"/>
      <w:r w:rsidRPr="006D6721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>Monitorul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>Oficial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 xml:space="preserve"> nr.38-42/260 din 19.02.2016</w:t>
      </w:r>
    </w:p>
    <w:p w:rsidR="006D6721" w:rsidRPr="006D6721" w:rsidRDefault="006D6721" w:rsidP="006D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2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D6721" w:rsidRPr="006D6721" w:rsidRDefault="006D6721" w:rsidP="006D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21">
        <w:rPr>
          <w:rFonts w:ascii="Times New Roman" w:eastAsia="Times New Roman" w:hAnsi="Times New Roman" w:cs="Times New Roman"/>
          <w:sz w:val="24"/>
          <w:szCs w:val="24"/>
          <w:lang w:eastAsia="en-GB"/>
        </w:rPr>
        <w:t>* * *</w:t>
      </w:r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temeiul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pct.7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lit.k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) subpct.7) din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Regulamentul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privind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organizarea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şi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funcţionarea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Ministerului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Economiei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structurii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şi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efectivului-limită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ale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aparatului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central a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acestuia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aprobat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prin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hyperlink r:id="rId5" w:history="1">
        <w:proofErr w:type="spellStart"/>
        <w:r w:rsidRPr="006D6721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Hotărârea</w:t>
        </w:r>
        <w:proofErr w:type="spellEnd"/>
        <w:r w:rsidRPr="006D6721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 xml:space="preserve"> </w:t>
        </w:r>
        <w:proofErr w:type="spellStart"/>
        <w:r w:rsidRPr="006D6721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Guvernului</w:t>
        </w:r>
        <w:proofErr w:type="spellEnd"/>
        <w:r w:rsidRPr="006D6721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 xml:space="preserve"> nr.690 din 13 </w:t>
        </w:r>
        <w:proofErr w:type="spellStart"/>
        <w:r w:rsidRPr="006D6721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noiembrie</w:t>
        </w:r>
        <w:proofErr w:type="spellEnd"/>
        <w:r w:rsidRPr="006D6721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 xml:space="preserve"> 2009</w:t>
        </w:r>
      </w:hyperlink>
      <w:r w:rsidRPr="006D6721">
        <w:rPr>
          <w:rFonts w:ascii="Times New Roman" w:eastAsia="Times New Roman" w:hAnsi="Times New Roman" w:cs="Times New Roman"/>
          <w:lang w:eastAsia="en-GB"/>
        </w:rPr>
        <w:t xml:space="preserve"> (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Monitorul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Oficial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al </w:t>
      </w:r>
      <w:proofErr w:type="spellStart"/>
      <w:r w:rsidRPr="006D6721">
        <w:rPr>
          <w:rFonts w:ascii="Times New Roman" w:eastAsia="Times New Roman" w:hAnsi="Times New Roman" w:cs="Times New Roman"/>
          <w:lang w:eastAsia="en-GB"/>
        </w:rPr>
        <w:t>Republicii</w:t>
      </w:r>
      <w:proofErr w:type="spellEnd"/>
      <w:r w:rsidRPr="006D6721">
        <w:rPr>
          <w:rFonts w:ascii="Times New Roman" w:eastAsia="Times New Roman" w:hAnsi="Times New Roman" w:cs="Times New Roman"/>
          <w:lang w:eastAsia="en-GB"/>
        </w:rPr>
        <w:t xml:space="preserve"> Moldova, 2009, nr.166-168, art.768),</w:t>
      </w:r>
    </w:p>
    <w:p w:rsidR="006D6721" w:rsidRPr="006D6721" w:rsidRDefault="006D6721" w:rsidP="006D6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6D6721">
        <w:rPr>
          <w:rFonts w:ascii="Times New Roman" w:eastAsia="Times New Roman" w:hAnsi="Times New Roman" w:cs="Times New Roman"/>
          <w:b/>
          <w:bCs/>
          <w:lang w:eastAsia="en-GB"/>
        </w:rPr>
        <w:t>ORDON:</w:t>
      </w:r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6D6721">
        <w:rPr>
          <w:rFonts w:ascii="Times New Roman" w:eastAsia="Times New Roman" w:hAnsi="Times New Roman" w:cs="Times New Roman"/>
          <w:b/>
          <w:bCs/>
          <w:sz w:val="23"/>
          <w:szCs w:val="23"/>
          <w:lang w:eastAsia="en-GB"/>
        </w:rPr>
        <w:t xml:space="preserve">1.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Punctele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1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şi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2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vor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avea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următorul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cuprins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:</w:t>
      </w:r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proofErr w:type="gram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„</w:t>
      </w:r>
      <w:r w:rsidRPr="006D672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n-GB"/>
        </w:rPr>
        <w:t>1.</w:t>
      </w: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Întru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asigurarea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respectării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prevederilor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art.16 din </w:t>
      </w:r>
      <w:hyperlink r:id="rId6" w:history="1">
        <w:proofErr w:type="spellStart"/>
        <w:r w:rsidRPr="006D6721">
          <w:rPr>
            <w:rFonts w:ascii="Times New Roman" w:eastAsia="Times New Roman" w:hAnsi="Times New Roman" w:cs="Times New Roman"/>
            <w:i/>
            <w:iCs/>
            <w:color w:val="0000FF"/>
            <w:sz w:val="23"/>
            <w:szCs w:val="23"/>
            <w:u w:val="single"/>
            <w:lang w:eastAsia="en-GB"/>
          </w:rPr>
          <w:t>Legea</w:t>
        </w:r>
        <w:proofErr w:type="spellEnd"/>
        <w:r w:rsidRPr="006D6721">
          <w:rPr>
            <w:rFonts w:ascii="Times New Roman" w:eastAsia="Times New Roman" w:hAnsi="Times New Roman" w:cs="Times New Roman"/>
            <w:i/>
            <w:iCs/>
            <w:color w:val="0000FF"/>
            <w:sz w:val="23"/>
            <w:szCs w:val="23"/>
            <w:u w:val="single"/>
            <w:lang w:eastAsia="en-GB"/>
          </w:rPr>
          <w:t xml:space="preserve"> nr.285-XIV din 18 </w:t>
        </w:r>
        <w:proofErr w:type="spellStart"/>
        <w:r w:rsidRPr="006D6721">
          <w:rPr>
            <w:rFonts w:ascii="Times New Roman" w:eastAsia="Times New Roman" w:hAnsi="Times New Roman" w:cs="Times New Roman"/>
            <w:i/>
            <w:iCs/>
            <w:color w:val="0000FF"/>
            <w:sz w:val="23"/>
            <w:szCs w:val="23"/>
            <w:u w:val="single"/>
            <w:lang w:eastAsia="en-GB"/>
          </w:rPr>
          <w:t>februarie</w:t>
        </w:r>
        <w:proofErr w:type="spellEnd"/>
        <w:r w:rsidRPr="006D6721">
          <w:rPr>
            <w:rFonts w:ascii="Times New Roman" w:eastAsia="Times New Roman" w:hAnsi="Times New Roman" w:cs="Times New Roman"/>
            <w:i/>
            <w:iCs/>
            <w:color w:val="0000FF"/>
            <w:sz w:val="23"/>
            <w:szCs w:val="23"/>
            <w:u w:val="single"/>
            <w:lang w:eastAsia="en-GB"/>
          </w:rPr>
          <w:t xml:space="preserve"> 1999</w:t>
        </w:r>
      </w:hyperlink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cu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privire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la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jocurile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noroc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(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Monitorul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Oficial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al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Republicii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Moldova, 1999, nr.50-52, art.230), cu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modificările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şi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completările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ulterioare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,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organismele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evaluare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a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conformităţii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acreditate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domeniu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vor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efectua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evaluarea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conformităţii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utilajului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introdus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piaţă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baza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Reglementării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tehnice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aplicabile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echipamentelor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joasă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tensiune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şi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vor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utiliza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următoarele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standarde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naţionale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procesul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evaluare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a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aparatelor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pentru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jocuri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noroc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:</w:t>
      </w:r>
      <w:proofErr w:type="gramEnd"/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- </w:t>
      </w:r>
      <w:r w:rsidRPr="006D672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n-GB"/>
        </w:rPr>
        <w:t>SM 253:2015</w:t>
      </w: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„</w:t>
      </w: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Automate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utilizate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cadrul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jocurilor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noroc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.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Condiţii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tehnice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pentru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evaluarea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conformităţii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”;</w:t>
      </w:r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- </w:t>
      </w:r>
      <w:r w:rsidRPr="006D672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n-GB"/>
        </w:rPr>
        <w:t>SM 254:2015</w:t>
      </w: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„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Rulete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utilizate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cadrul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jocurilor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noroc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.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Condiţii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tehnice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pentru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evaluarea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conformităţii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”;</w:t>
      </w:r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- </w:t>
      </w:r>
      <w:r w:rsidRPr="006D672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n-GB"/>
        </w:rPr>
        <w:t>SM SR EN 60335-2-82:2010</w:t>
      </w: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„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Aparate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electrice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pentru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uz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casnic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şi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scopuri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similare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. Securitate.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Partea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2-82: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Prescripţii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particulare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pentru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maşini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divertisment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şi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maşini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pentru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utilităţi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personale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”.</w:t>
      </w:r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6D672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n-GB"/>
        </w:rPr>
        <w:t>2.</w:t>
      </w: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La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eliberarea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certificatelor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conformitate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prevăzute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art.21 din </w:t>
      </w:r>
      <w:hyperlink r:id="rId7" w:history="1">
        <w:proofErr w:type="spellStart"/>
        <w:r w:rsidRPr="006D6721">
          <w:rPr>
            <w:rFonts w:ascii="Times New Roman" w:eastAsia="Times New Roman" w:hAnsi="Times New Roman" w:cs="Times New Roman"/>
            <w:i/>
            <w:iCs/>
            <w:color w:val="0000FF"/>
            <w:sz w:val="23"/>
            <w:szCs w:val="23"/>
            <w:u w:val="single"/>
            <w:lang w:eastAsia="en-GB"/>
          </w:rPr>
          <w:t>Legea</w:t>
        </w:r>
        <w:proofErr w:type="spellEnd"/>
        <w:r w:rsidRPr="006D6721">
          <w:rPr>
            <w:rFonts w:ascii="Times New Roman" w:eastAsia="Times New Roman" w:hAnsi="Times New Roman" w:cs="Times New Roman"/>
            <w:i/>
            <w:iCs/>
            <w:color w:val="0000FF"/>
            <w:sz w:val="23"/>
            <w:szCs w:val="23"/>
            <w:u w:val="single"/>
            <w:lang w:eastAsia="en-GB"/>
          </w:rPr>
          <w:t xml:space="preserve"> nr.285-XIV din 18 </w:t>
        </w:r>
        <w:proofErr w:type="spellStart"/>
        <w:r w:rsidRPr="006D6721">
          <w:rPr>
            <w:rFonts w:ascii="Times New Roman" w:eastAsia="Times New Roman" w:hAnsi="Times New Roman" w:cs="Times New Roman"/>
            <w:i/>
            <w:iCs/>
            <w:color w:val="0000FF"/>
            <w:sz w:val="23"/>
            <w:szCs w:val="23"/>
            <w:u w:val="single"/>
            <w:lang w:eastAsia="en-GB"/>
          </w:rPr>
          <w:t>februarie</w:t>
        </w:r>
        <w:proofErr w:type="spellEnd"/>
        <w:r w:rsidRPr="006D6721">
          <w:rPr>
            <w:rFonts w:ascii="Times New Roman" w:eastAsia="Times New Roman" w:hAnsi="Times New Roman" w:cs="Times New Roman"/>
            <w:i/>
            <w:iCs/>
            <w:color w:val="0000FF"/>
            <w:sz w:val="23"/>
            <w:szCs w:val="23"/>
            <w:u w:val="single"/>
            <w:lang w:eastAsia="en-GB"/>
          </w:rPr>
          <w:t xml:space="preserve"> 1999</w:t>
        </w:r>
      </w:hyperlink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cu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privire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la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jocurile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noroc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, cu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modificările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şi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completările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ulterioare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,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organismele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evaluare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a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conformităţii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acreditate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domeniu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vor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efectua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evaluarea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conformităţii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periodică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a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utilajului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noroc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puse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funcţiune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baza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următoarelor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cerinţe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din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standardele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naţionale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:</w:t>
      </w:r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- </w:t>
      </w:r>
      <w:r w:rsidRPr="006D672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n-GB"/>
        </w:rPr>
        <w:t>SM 253:2015</w:t>
      </w: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„</w:t>
      </w: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Automate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utilizate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cadrul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jocurilor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noroc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.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Condiţii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tehnice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pentru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evaluarea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conformităţii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”;</w:t>
      </w:r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- </w:t>
      </w:r>
      <w:r w:rsidRPr="006D672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n-GB"/>
        </w:rPr>
        <w:t>SM 254:2015</w:t>
      </w: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„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Rulete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utilizate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cadrul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jocurilor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de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noroc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.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Condiţii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tehnice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pentru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evaluarea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conformităţii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”;</w:t>
      </w:r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- </w:t>
      </w:r>
      <w:r w:rsidRPr="006D672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n-GB"/>
        </w:rPr>
        <w:t>SM SR EN 60335-1:2014</w:t>
      </w:r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„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Aparate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electrice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pentru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uz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casnic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şi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scopuri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similare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. Securitate.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Partea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1: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Prescripţii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generale</w:t>
      </w:r>
      <w:proofErr w:type="spellEnd"/>
      <w:r w:rsidRPr="006D6721">
        <w:rPr>
          <w:rFonts w:ascii="Times New Roman" w:eastAsia="Times New Roman" w:hAnsi="Times New Roman" w:cs="Times New Roman"/>
          <w:i/>
          <w:iCs/>
          <w:sz w:val="23"/>
          <w:szCs w:val="23"/>
          <w:lang w:eastAsia="en-GB"/>
        </w:rPr>
        <w:t>” (pct.6.1-6.2, 7.1-7.7, 7.9-7-11, 7.14-7.15, 8.1, 8.1.4, 10.1-10.2, 20.1-20.2, 22.1-22.2, 22.5, 22.12, 22.14, 22.21-22.22, 22.25, 22.34, 22.39, 22.41, 22.43, 22.45, 23.1, 23.7-23.8, 25.1, 25.3, 25.6, 25.9-25.10, 25.12-25.13, 25.15-25.18, 25.22, 26, 27.1-27.3, 27.5, 28, 29).</w:t>
      </w:r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”</w:t>
      </w:r>
    </w:p>
    <w:p w:rsidR="006D6721" w:rsidRPr="006D6721" w:rsidRDefault="006D6721" w:rsidP="006D6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6D6721">
        <w:rPr>
          <w:rFonts w:ascii="Times New Roman" w:eastAsia="Times New Roman" w:hAnsi="Times New Roman" w:cs="Times New Roman"/>
          <w:b/>
          <w:bCs/>
          <w:sz w:val="23"/>
          <w:szCs w:val="23"/>
          <w:lang w:eastAsia="en-GB"/>
        </w:rPr>
        <w:t>2.</w:t>
      </w:r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Prezentul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ordin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se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publică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în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Monitorul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Oficial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al </w:t>
      </w:r>
      <w:proofErr w:type="spellStart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>Republicii</w:t>
      </w:r>
      <w:proofErr w:type="spellEnd"/>
      <w:r w:rsidRPr="006D6721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Moldova.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1752"/>
      </w:tblGrid>
      <w:tr w:rsidR="006D6721" w:rsidRPr="006D6721" w:rsidTr="006D67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6D6721" w:rsidRPr="006D6721" w:rsidRDefault="006D6721" w:rsidP="006D67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D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VICEPRIM-MINISTRU,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6721" w:rsidRPr="006D6721" w:rsidRDefault="006D6721" w:rsidP="006D67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6721" w:rsidRPr="006D6721" w:rsidTr="006D67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6D6721" w:rsidRPr="006D6721" w:rsidRDefault="006D6721" w:rsidP="006D67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D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MINISTRUL ECONOMIEI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6721" w:rsidRPr="006D6721" w:rsidRDefault="006D6721" w:rsidP="006D67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D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Octavian CALMÎC</w:t>
            </w:r>
          </w:p>
        </w:tc>
      </w:tr>
      <w:tr w:rsidR="006D6721" w:rsidRPr="006D6721" w:rsidTr="006D672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45" w:type="dxa"/>
              <w:bottom w:w="15" w:type="dxa"/>
              <w:right w:w="45" w:type="dxa"/>
            </w:tcMar>
            <w:hideMark/>
          </w:tcPr>
          <w:p w:rsidR="006D6721" w:rsidRPr="006D6721" w:rsidRDefault="006D6721" w:rsidP="006D6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D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Nr.9. </w:t>
            </w:r>
            <w:proofErr w:type="spellStart"/>
            <w:r w:rsidRPr="006D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Chişinău</w:t>
            </w:r>
            <w:proofErr w:type="spellEnd"/>
            <w:r w:rsidRPr="006D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1 </w:t>
            </w:r>
            <w:proofErr w:type="spellStart"/>
            <w:r w:rsidRPr="006D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februarie</w:t>
            </w:r>
            <w:proofErr w:type="spellEnd"/>
            <w:r w:rsidRPr="006D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2016.</w:t>
            </w:r>
          </w:p>
        </w:tc>
      </w:tr>
    </w:tbl>
    <w:p w:rsidR="00B40497" w:rsidRDefault="006D6721">
      <w:bookmarkStart w:id="0" w:name="_GoBack"/>
      <w:bookmarkEnd w:id="0"/>
      <w:r w:rsidRPr="006D672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</w:t>
      </w:r>
    </w:p>
    <w:sectPr w:rsidR="00B40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21"/>
    <w:rsid w:val="006D6721"/>
    <w:rsid w:val="00B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FA517-C7E9-4965-8E19-69D59CCE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7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t">
    <w:name w:val="tt"/>
    <w:basedOn w:val="Normal"/>
    <w:rsid w:val="006D6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b">
    <w:name w:val="pb"/>
    <w:basedOn w:val="Normal"/>
    <w:rsid w:val="006D672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en-GB"/>
    </w:rPr>
  </w:style>
  <w:style w:type="paragraph" w:customStyle="1" w:styleId="cn">
    <w:name w:val="cn"/>
    <w:basedOn w:val="Normal"/>
    <w:rsid w:val="006D67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">
    <w:name w:val="cb"/>
    <w:basedOn w:val="Normal"/>
    <w:rsid w:val="006D6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D6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lex:LPLP199902182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ex:LPLP19990218285" TargetMode="External"/><Relationship Id="rId5" Type="http://schemas.openxmlformats.org/officeDocument/2006/relationships/hyperlink" Target="lex:HGHG20091113690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2016-02-26T09:37:00Z</dcterms:created>
  <dcterms:modified xsi:type="dcterms:W3CDTF">2016-02-26T09:39:00Z</dcterms:modified>
</cp:coreProperties>
</file>